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0072" w:rsidRDefault="009503D8">
      <w:pPr>
        <w:spacing w:line="400" w:lineRule="atLeast"/>
        <w:jc w:val="center"/>
        <w:rPr>
          <w:rFonts w:ascii="ＭＳ 明朝" w:hAnsi="ＭＳ 明朝"/>
          <w:color w:val="000000"/>
          <w:spacing w:val="12"/>
          <w:sz w:val="24"/>
        </w:rPr>
      </w:pPr>
      <w:r>
        <w:rPr>
          <w:rFonts w:ascii="ＭＳ 明朝" w:hAnsi="ＭＳ 明朝"/>
          <w:noProof/>
          <w:color w:val="000000"/>
          <w:spacing w:val="12"/>
          <w:sz w:val="24"/>
        </w:rPr>
        <mc:AlternateContent>
          <mc:Choice Requires="wps">
            <w:drawing>
              <wp:anchor distT="0" distB="0" distL="114300" distR="114300" simplePos="0" relativeHeight="3" behindDoc="0" locked="0" layoutInCell="0" hidden="0" allowOverlap="1">
                <wp:simplePos x="0" y="0"/>
                <wp:positionH relativeFrom="column">
                  <wp:posOffset>1200150</wp:posOffset>
                </wp:positionH>
                <wp:positionV relativeFrom="paragraph">
                  <wp:posOffset>0</wp:posOffset>
                </wp:positionV>
                <wp:extent cx="3200400" cy="342900"/>
                <wp:effectExtent l="0" t="0" r="635" b="63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00400" cy="342900"/>
                        </a:xfrm>
                        <a:prstGeom prst="rect">
                          <a:avLst/>
                        </a:prstGeom>
                        <a:solidFill>
                          <a:srgbClr val="FFFFFF"/>
                        </a:solidFill>
                        <a:ln>
                          <a:miter/>
                        </a:ln>
                      </wps:spPr>
                      <wps:txbx>
                        <w:txbxContent>
                          <w:p w:rsidR="00E90072" w:rsidRDefault="009503D8">
                            <w:pPr>
                              <w:jc w:val="center"/>
                            </w:pPr>
                            <w:r>
                              <w:rPr>
                                <w:rFonts w:hint="eastAsia"/>
                              </w:rPr>
                              <w:t>（　特　に　定　め　た　契　約　条　件　）</w:t>
                            </w:r>
                          </w:p>
                        </w:txbxContent>
                      </wps:txbx>
                      <wps:bodyPr upright="1"/>
                    </wps:wsp>
                  </a:graphicData>
                </a:graphic>
              </wp:anchor>
            </w:drawing>
          </mc:Choice>
          <mc:Fallback>
            <w:pict>
              <v:rect id="オブジェクト 0" o:spid="_x0000_s1026" style="position:absolute;left:0;text-align:left;margin-left:94.5pt;margin-top:0;width:252pt;height:27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" o:allowincell="f" stroked="f">
                <v:textbox>
                  <w:txbxContent>
                    <w:p w:rsidR="00E90072" w:rsidRDefault="009503D8">
                      <w:pPr>
                        <w:jc w:val="center"/>
                      </w:pPr>
                      <w:r>
                        <w:rPr>
                          <w:rFonts w:hint="eastAsia"/>
                        </w:rPr>
                        <w:t>（　特　に　定　め　た　契　約　条　件　）</w:t>
                      </w:r>
                    </w:p>
                  </w:txbxContent>
                </v:textbox>
              </v:rect>
            </w:pict>
          </mc:Fallback>
        </mc:AlternateContent>
      </w:r>
      <w:r>
        <w:rPr>
          <w:rFonts w:ascii="ＭＳ 明朝" w:hAnsi="ＭＳ 明朝"/>
          <w:noProof/>
          <w:color w:val="000000"/>
          <w:spacing w:val="12"/>
          <w:sz w:val="24"/>
        </w:rPr>
        <mc:AlternateContent>
          <mc:Choice Requires="wps">
            <w:drawing>
              <wp:anchor distT="0" distB="0" distL="114300" distR="114300" simplePos="0" relativeHeight="2" behindDoc="0" locked="0" layoutInCell="0" hidden="0" allowOverlap="1">
                <wp:simplePos x="0" y="0"/>
                <wp:positionH relativeFrom="column">
                  <wp:posOffset>-333375</wp:posOffset>
                </wp:positionH>
                <wp:positionV relativeFrom="paragraph">
                  <wp:posOffset>-457200</wp:posOffset>
                </wp:positionV>
                <wp:extent cx="1400175" cy="457200"/>
                <wp:effectExtent l="0" t="0" r="635" b="635"/>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400175" cy="457200"/>
                        </a:xfrm>
                        <a:prstGeom prst="rect">
                          <a:avLst/>
                        </a:prstGeom>
                        <a:solidFill>
                          <a:srgbClr val="FFFFFF"/>
                        </a:solidFill>
                        <a:ln>
                          <a:miter/>
                        </a:ln>
                      </wps:spPr>
                      <wps:bodyPr/>
                    </wps:wsp>
                  </a:graphicData>
                </a:graphic>
              </wp:anchor>
            </w:drawing>
          </mc:Choice>
          <mc:Fallback>
            <w:pict>
              <v:rect id="_x0000_s1027" style="margin-top:-36pt;mso-position-vertical-relative:text;mso-position-horizontal-relative:text;position:absolute;height:36pt;width:110.25pt;margin-left:-26.25pt;z-index:2;" o:allowincell="f" filled="t" fillcolor="#ffffff" stroked="f" o:spt="1">
                <v:fill/>
                <v:textbox style="layout-flow:horizontal;"/>
                <v:imagedata o:title=""/>
                <w10:wrap type="none" anchorx="text" anchory="text"/>
              </v:rect>
            </w:pict>
          </mc:Fallback>
        </mc:AlternateContent>
      </w:r>
    </w:p>
    <w:p w:rsidR="00E90072" w:rsidRDefault="009503D8">
      <w:pPr>
        <w:spacing w:line="400" w:lineRule="atLeast"/>
        <w:jc w:val="center"/>
        <w:rPr>
          <w:rFonts w:ascii="ＭＳ 明朝" w:hAnsi="ＭＳ 明朝"/>
          <w:color w:val="000000"/>
          <w:spacing w:val="12"/>
          <w:sz w:val="24"/>
        </w:rPr>
      </w:pPr>
      <w:r>
        <w:rPr>
          <w:rFonts w:ascii="ＭＳ 明朝" w:hAnsi="ＭＳ 明朝" w:hint="eastAsia"/>
          <w:color w:val="000000"/>
          <w:spacing w:val="12"/>
          <w:sz w:val="24"/>
        </w:rPr>
        <w:t xml:space="preserve">　　　　　　　　　　　　　　　　　　　　　　　　　　　　　　　　　　　　　　　　　　　　　　　　　　　　　　　　　　　　　　　　　　　　　　　　　　　　　　　　　　　　　　　　　　　　　　　　　　　　　　　　　　　　　　　　　　　　　　　　　　　　　　　　　　　　　　　　　　　　　　　　　　　　　　　　　　　　　　　　　　　　　　　　　　　　　　　　　　　　　　　　　　　　　　　　　　　　　　　　　　　　　　　　　　　　　　　　　　　　　　　　　　　　　　　　　　　　　　　　　　　　　　　　　　　　　　　　　　　　　　　　　　　　　　　　　　　　　　　　　　　　　　　　　　　　　　　　　　　　　　　　　　　　　　　　　　　　　　　　　　　　　　　　　　　　　　　　　　　　　　　　　　　　　　　　　　　　　　　　　　　　　　　　　　　　　　　　　　　　　　　　　　　　　　　　　　　　　　　　　　　　　　　　　　　　　　　　　　　　　　　　　　　　　　　　　　　　　　　　　　　　　　　　　　　　　　　　　　　　　　　　　　　　　　　　　　　　　　　　　　　　　　　　　　　　　　　　　　　　　　　　　　　　　　　　　　　　　　　　　　　　　　　　　　　　　　　　　　　　　　　　　　　　　　　　　　　　　　　　　　　　　　　　　　　　　　　　　　　　　　　　　　　　　　　　　　　　　　　　　　　　　　　　　　　　　　　　　　　　　　　　　　　　　　　　　　　　　　　　　　　　　　　　　　　　　　　　　　　　　　　　　　　　　　　　　　　　　　　　　　　　　　　　　　　　　　　　　　　　　　　　　　　　　　　　　　　　　　　　　　　　　　　　　　　　　　　　　　　　　　　　　　　　　　　　　　　　　　　　　　　　　　　　　　　　　　　　　　　　　　　　　　　　　　　　　　　　　　　　　　　　　　　　　　　　　　　　　　　　　　　　　　　　　　　　　　　　　　　　　　　　　　　　　　　　　　　　　　　　　　　　　　　　　　　　　　　　　　　　　　　　　　　　　　　　　　　　　　　　　　　　　　　　　　　　　　　　　　　　　　　　　　　　　　　　　　　　　　　　　　　　　　　　　　　　　　　　　　　　　　　　　　　　　　　　　　　　　　　　　　　　　　　　　　　　　　　　　　　　　　　　　　　　　　　　　　　　　　　　　　　　　　　　　　　　　　　　　　　　　　　　　　　　　　　　　　　　　　　　　　　　　　　　　　　　　　　　　　　　　　　　　　　　　　　　　　　　　　　　　　　　　　　　　　　　　　　　　　　　　　　　　　　　　　　　　　　　　　　　　　　　　　　　　　　　　　　　　　　　　　　　　　　　　　　　　　　　　　　　　　　　　　　　　　　　　　　　　　　　　　　　　　　　　　　　　　　　　　　　　　　　　　　　　　　　　　　　　　　　　　　　　　　　　　　　　　　　　　　　　　　　　　　　　　　　　　　　　　　　　　　　　　　　　　　　　　　　　　　　　　　　　　　　　　　　　　　　　　　　　　　　　　　　　　　　　　　　　　　　　　　　　　　　　　　　　</w:t>
      </w:r>
    </w:p>
    <w:p w:rsidR="00E90072" w:rsidRDefault="009503D8">
      <w:pPr>
        <w:spacing w:line="400" w:lineRule="atLeast"/>
        <w:rPr>
          <w:rFonts w:ascii="ＭＳ 明朝" w:hAnsi="ＭＳ 明朝"/>
          <w:color w:val="000000"/>
          <w:spacing w:val="12"/>
          <w:sz w:val="22"/>
        </w:rPr>
      </w:pPr>
      <w:r>
        <w:rPr>
          <w:rFonts w:ascii="ＭＳ 明朝" w:hAnsi="ＭＳ 明朝" w:hint="eastAsia"/>
          <w:color w:val="000000"/>
          <w:spacing w:val="12"/>
          <w:sz w:val="22"/>
        </w:rPr>
        <w:t>１　この工事は、令和</w:t>
      </w:r>
      <w:r w:rsidR="005E24CB">
        <w:rPr>
          <w:rFonts w:ascii="ＭＳ 明朝" w:hAnsi="ＭＳ 明朝" w:hint="eastAsia"/>
          <w:color w:val="000000"/>
          <w:spacing w:val="12"/>
          <w:sz w:val="22"/>
        </w:rPr>
        <w:t>７</w:t>
      </w:r>
      <w:r>
        <w:rPr>
          <w:rFonts w:ascii="ＭＳ 明朝" w:hAnsi="ＭＳ 明朝" w:hint="eastAsia"/>
          <w:color w:val="000000"/>
          <w:spacing w:val="12"/>
          <w:sz w:val="22"/>
        </w:rPr>
        <w:t>年度から</w:t>
      </w:r>
      <w:r w:rsidR="005E24CB">
        <w:rPr>
          <w:rFonts w:ascii="ＭＳ 明朝" w:hAnsi="ＭＳ 明朝" w:hint="eastAsia"/>
          <w:color w:val="000000"/>
          <w:spacing w:val="12"/>
          <w:sz w:val="22"/>
        </w:rPr>
        <w:t>令和８</w:t>
      </w:r>
      <w:r>
        <w:rPr>
          <w:rFonts w:ascii="ＭＳ 明朝" w:hAnsi="ＭＳ 明朝" w:hint="eastAsia"/>
          <w:color w:val="000000"/>
          <w:spacing w:val="12"/>
          <w:sz w:val="22"/>
        </w:rPr>
        <w:t>年度にわたるものである。</w:t>
      </w:r>
    </w:p>
    <w:p w:rsidR="00E90072" w:rsidRDefault="009503D8">
      <w:pPr>
        <w:pStyle w:val="a5"/>
        <w:tabs>
          <w:tab w:val="left" w:pos="9135"/>
        </w:tabs>
        <w:ind w:right="-25"/>
        <w:rPr>
          <w:rFonts w:ascii="ＭＳ 明朝" w:hAnsi="ＭＳ 明朝"/>
          <w:color w:val="000000"/>
        </w:rPr>
      </w:pPr>
      <w:r>
        <w:rPr>
          <w:rFonts w:ascii="ＭＳ 明朝" w:hAnsi="ＭＳ 明朝" w:hint="eastAsia"/>
          <w:color w:val="000000"/>
        </w:rPr>
        <w:t>２　令和</w:t>
      </w:r>
      <w:r w:rsidR="005E24CB">
        <w:rPr>
          <w:rFonts w:ascii="ＭＳ 明朝" w:hAnsi="ＭＳ 明朝" w:hint="eastAsia"/>
          <w:color w:val="000000"/>
        </w:rPr>
        <w:t>７</w:t>
      </w:r>
      <w:r>
        <w:rPr>
          <w:rFonts w:ascii="ＭＳ 明朝" w:hAnsi="ＭＳ 明朝" w:hint="eastAsia"/>
          <w:color w:val="000000"/>
        </w:rPr>
        <w:t>年度の支払いは</w:t>
      </w:r>
      <w:bookmarkStart w:id="0" w:name="_GoBack"/>
      <w:bookmarkEnd w:id="0"/>
      <w:r w:rsidR="00375D15" w:rsidRPr="00BD0FF9">
        <w:rPr>
          <w:rFonts w:ascii="ＭＳ 明朝" w:hAnsi="ＭＳ 明朝" w:hint="eastAsia"/>
        </w:rPr>
        <w:t>23,8</w:t>
      </w:r>
      <w:r w:rsidR="00BD0FF9" w:rsidRPr="00BD0FF9">
        <w:rPr>
          <w:rFonts w:ascii="ＭＳ 明朝" w:hAnsi="ＭＳ 明朝"/>
        </w:rPr>
        <w:t>00</w:t>
      </w:r>
      <w:r w:rsidR="00375D15" w:rsidRPr="00BD0FF9">
        <w:rPr>
          <w:rFonts w:ascii="ＭＳ 明朝" w:hAnsi="ＭＳ 明朝" w:hint="eastAsia"/>
        </w:rPr>
        <w:t>,000</w:t>
      </w:r>
      <w:r w:rsidRPr="00BD0FF9">
        <w:rPr>
          <w:rFonts w:ascii="ＭＳ 明朝" w:hAnsi="ＭＳ 明朝" w:hint="eastAsia"/>
        </w:rPr>
        <w:t>円と</w:t>
      </w:r>
      <w:r>
        <w:rPr>
          <w:rFonts w:ascii="ＭＳ 明朝" w:hAnsi="ＭＳ 明朝" w:hint="eastAsia"/>
          <w:color w:val="000000"/>
        </w:rPr>
        <w:t>し、残額は令和</w:t>
      </w:r>
      <w:r w:rsidR="005E24CB">
        <w:rPr>
          <w:rFonts w:ascii="ＭＳ 明朝" w:hAnsi="ＭＳ 明朝" w:hint="eastAsia"/>
          <w:color w:val="000000"/>
        </w:rPr>
        <w:t>８</w:t>
      </w:r>
      <w:r>
        <w:rPr>
          <w:rFonts w:ascii="ＭＳ 明朝" w:hAnsi="ＭＳ 明朝" w:hint="eastAsia"/>
          <w:color w:val="000000"/>
        </w:rPr>
        <w:t>年度に支払う。</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 xml:space="preserve">　　ただし、最終年を除いた各年度の支払額は、工事の出来形部分</w:t>
      </w:r>
      <w:r w:rsidR="005E24CB">
        <w:rPr>
          <w:rFonts w:ascii="ＭＳ 明朝" w:hAnsi="ＭＳ 明朝" w:hint="eastAsia"/>
          <w:color w:val="000000"/>
          <w:spacing w:val="12"/>
          <w:sz w:val="22"/>
        </w:rPr>
        <w:t>又は</w:t>
      </w:r>
      <w:r>
        <w:rPr>
          <w:rFonts w:ascii="ＭＳ 明朝" w:hAnsi="ＭＳ 明朝" w:hint="eastAsia"/>
          <w:color w:val="000000"/>
          <w:spacing w:val="12"/>
          <w:sz w:val="22"/>
        </w:rPr>
        <w:t>製造工場等にある特殊な工場製品に相応する請負代金相当額の10分の９以内とする。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３　前払金の総額は現場説明書に記載のとおりとし、年度ごとに分割して支払う。</w:t>
      </w:r>
    </w:p>
    <w:p w:rsidR="00E90072" w:rsidRDefault="00E90072">
      <w:pPr>
        <w:spacing w:line="400" w:lineRule="atLeast"/>
        <w:ind w:left="266" w:hanging="266"/>
        <w:rPr>
          <w:rFonts w:ascii="ＭＳ 明朝" w:hAnsi="ＭＳ 明朝"/>
          <w:color w:val="000000"/>
          <w:spacing w:val="12"/>
          <w:sz w:val="22"/>
        </w:rPr>
      </w:pPr>
    </w:p>
    <w:tbl>
      <w:tblPr>
        <w:tblW w:w="0" w:type="auto"/>
        <w:tblInd w:w="639" w:type="dxa"/>
        <w:tblLayout w:type="fixed"/>
        <w:tblCellMar>
          <w:left w:w="99" w:type="dxa"/>
          <w:right w:w="99" w:type="dxa"/>
        </w:tblCellMar>
        <w:tblLook w:val="0600" w:firstRow="0" w:lastRow="0" w:firstColumn="0" w:lastColumn="0" w:noHBand="1" w:noVBand="1"/>
      </w:tblPr>
      <w:tblGrid>
        <w:gridCol w:w="1980"/>
        <w:gridCol w:w="630"/>
        <w:gridCol w:w="1575"/>
        <w:gridCol w:w="721"/>
        <w:gridCol w:w="2757"/>
      </w:tblGrid>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各年度の前払金</w:t>
            </w:r>
          </w:p>
        </w:tc>
        <w:tc>
          <w:tcPr>
            <w:tcW w:w="630"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前　払　金</w:t>
            </w:r>
          </w:p>
        </w:tc>
        <w:tc>
          <w:tcPr>
            <w:tcW w:w="721"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2757" w:type="dxa"/>
            <w:tcBorders>
              <w:bottom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当該年度の支払限度額</w:t>
            </w:r>
          </w:p>
        </w:tc>
      </w:tr>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の　支　払　額</w:t>
            </w:r>
          </w:p>
        </w:tc>
        <w:tc>
          <w:tcPr>
            <w:tcW w:w="630" w:type="dxa"/>
            <w:vMerge/>
          </w:tcPr>
          <w:p w:rsidR="00E90072" w:rsidRDefault="00E90072">
            <w:pPr>
              <w:spacing w:line="400" w:lineRule="atLeast"/>
              <w:ind w:left="266" w:hanging="266"/>
              <w:rPr>
                <w:rFonts w:ascii="ＭＳ 明朝" w:hAnsi="ＭＳ 明朝"/>
                <w:color w:val="000000"/>
                <w:spacing w:val="12"/>
                <w:sz w:val="22"/>
              </w:rPr>
            </w:pP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総　　　額</w:t>
            </w:r>
          </w:p>
        </w:tc>
        <w:tc>
          <w:tcPr>
            <w:tcW w:w="721" w:type="dxa"/>
            <w:vMerge/>
          </w:tcPr>
          <w:p w:rsidR="00E90072" w:rsidRDefault="00E90072">
            <w:pPr>
              <w:spacing w:line="400" w:lineRule="atLeast"/>
              <w:ind w:left="266" w:hanging="266"/>
              <w:rPr>
                <w:rFonts w:ascii="ＭＳ 明朝" w:hAnsi="ＭＳ 明朝"/>
                <w:color w:val="000000"/>
                <w:spacing w:val="12"/>
                <w:sz w:val="22"/>
              </w:rPr>
            </w:pPr>
          </w:p>
        </w:tc>
        <w:tc>
          <w:tcPr>
            <w:tcW w:w="2757" w:type="dxa"/>
            <w:tcBorders>
              <w:top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sidRPr="0083158F">
              <w:rPr>
                <w:rFonts w:ascii="ＭＳ 明朝" w:hAnsi="ＭＳ 明朝" w:hint="eastAsia"/>
                <w:color w:val="000000"/>
                <w:spacing w:val="167"/>
                <w:sz w:val="22"/>
                <w:fitText w:val="2440" w:id="1"/>
              </w:rPr>
              <w:t>請負代金</w:t>
            </w:r>
            <w:r w:rsidRPr="0083158F">
              <w:rPr>
                <w:rFonts w:ascii="ＭＳ 明朝" w:hAnsi="ＭＳ 明朝" w:hint="eastAsia"/>
                <w:color w:val="000000"/>
                <w:spacing w:val="2"/>
                <w:sz w:val="22"/>
                <w:fitText w:val="2440" w:id="1"/>
              </w:rPr>
              <w:t>額</w:t>
            </w:r>
          </w:p>
        </w:tc>
      </w:tr>
    </w:tbl>
    <w:p w:rsidR="00E90072" w:rsidRDefault="00E90072">
      <w:pPr>
        <w:spacing w:line="400" w:lineRule="atLeast"/>
        <w:ind w:left="266" w:hanging="266"/>
        <w:rPr>
          <w:rFonts w:ascii="ＭＳ 明朝" w:hAnsi="ＭＳ 明朝"/>
          <w:color w:val="000000"/>
          <w:spacing w:val="12"/>
          <w:sz w:val="22"/>
        </w:rPr>
      </w:pP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 xml:space="preserve">　　受注者は前払金を受けようとする場合は、各年度末（最終年度は工事の完成期限）を保証期限とした公共工事の前払金保証事業に関する法律に規定する保証事業会社（以下「保証会社」という。）の発行する保証証書を発注者に寄託しなければならない。</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４　中間前払金の総額は現場説明書に記載のとおりとし、年度ごとに分割して支払う。</w:t>
      </w:r>
    </w:p>
    <w:p w:rsidR="00E90072" w:rsidRDefault="00E90072">
      <w:pPr>
        <w:spacing w:line="400" w:lineRule="atLeast"/>
        <w:ind w:left="266" w:hanging="266"/>
        <w:rPr>
          <w:rFonts w:ascii="ＭＳ 明朝" w:hAnsi="ＭＳ 明朝"/>
          <w:color w:val="000000"/>
          <w:spacing w:val="12"/>
          <w:sz w:val="22"/>
        </w:rPr>
      </w:pPr>
    </w:p>
    <w:tbl>
      <w:tblPr>
        <w:tblW w:w="0" w:type="auto"/>
        <w:tblInd w:w="639" w:type="dxa"/>
        <w:tblLayout w:type="fixed"/>
        <w:tblCellMar>
          <w:left w:w="99" w:type="dxa"/>
          <w:right w:w="99" w:type="dxa"/>
        </w:tblCellMar>
        <w:tblLook w:val="0600" w:firstRow="0" w:lastRow="0" w:firstColumn="0" w:lastColumn="0" w:noHBand="1" w:noVBand="1"/>
      </w:tblPr>
      <w:tblGrid>
        <w:gridCol w:w="1980"/>
        <w:gridCol w:w="630"/>
        <w:gridCol w:w="1575"/>
        <w:gridCol w:w="665"/>
        <w:gridCol w:w="2730"/>
      </w:tblGrid>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sidRPr="0083158F">
              <w:rPr>
                <w:rFonts w:ascii="ＭＳ 明朝" w:hAnsi="ＭＳ 明朝" w:hint="eastAsia"/>
                <w:color w:val="000000"/>
                <w:spacing w:val="39"/>
                <w:sz w:val="22"/>
                <w:fitText w:val="1708" w:id="2"/>
              </w:rPr>
              <w:t>各年度の中</w:t>
            </w:r>
            <w:r w:rsidRPr="0083158F">
              <w:rPr>
                <w:rFonts w:ascii="ＭＳ 明朝" w:hAnsi="ＭＳ 明朝" w:hint="eastAsia"/>
                <w:color w:val="000000"/>
                <w:sz w:val="22"/>
                <w:fitText w:val="1708" w:id="2"/>
              </w:rPr>
              <w:t>間</w:t>
            </w:r>
          </w:p>
        </w:tc>
        <w:tc>
          <w:tcPr>
            <w:tcW w:w="630"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中間前払金</w:t>
            </w:r>
          </w:p>
        </w:tc>
        <w:tc>
          <w:tcPr>
            <w:tcW w:w="665" w:type="dxa"/>
            <w:vMerge w:val="restart"/>
            <w:vAlign w:val="center"/>
          </w:tcPr>
          <w:p w:rsidR="00E90072" w:rsidRDefault="009503D8">
            <w:pPr>
              <w:spacing w:line="400" w:lineRule="atLeast"/>
              <w:ind w:left="266" w:hanging="266"/>
              <w:jc w:val="center"/>
              <w:rPr>
                <w:rFonts w:ascii="ＭＳ 明朝" w:hAnsi="ＭＳ 明朝"/>
                <w:color w:val="000000"/>
                <w:spacing w:val="12"/>
                <w:sz w:val="32"/>
              </w:rPr>
            </w:pPr>
            <w:r>
              <w:rPr>
                <w:rFonts w:ascii="ＭＳ 明朝" w:hAnsi="ＭＳ 明朝" w:hint="eastAsia"/>
                <w:color w:val="000000"/>
                <w:spacing w:val="12"/>
                <w:sz w:val="32"/>
              </w:rPr>
              <w:t>×</w:t>
            </w:r>
          </w:p>
        </w:tc>
        <w:tc>
          <w:tcPr>
            <w:tcW w:w="2730" w:type="dxa"/>
            <w:tcBorders>
              <w:bottom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当該年度の支払限度額</w:t>
            </w:r>
          </w:p>
        </w:tc>
      </w:tr>
      <w:tr w:rsidR="00E90072">
        <w:trPr>
          <w:cantSplit/>
          <w:trHeight w:val="375"/>
        </w:trPr>
        <w:tc>
          <w:tcPr>
            <w:tcW w:w="1980"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前払金の支払額</w:t>
            </w:r>
          </w:p>
        </w:tc>
        <w:tc>
          <w:tcPr>
            <w:tcW w:w="630" w:type="dxa"/>
            <w:vMerge/>
          </w:tcPr>
          <w:p w:rsidR="00E90072" w:rsidRDefault="00E90072">
            <w:pPr>
              <w:spacing w:line="400" w:lineRule="atLeast"/>
              <w:ind w:left="266" w:hanging="266"/>
              <w:rPr>
                <w:rFonts w:ascii="ＭＳ 明朝" w:hAnsi="ＭＳ 明朝"/>
                <w:color w:val="000000"/>
                <w:spacing w:val="12"/>
                <w:sz w:val="22"/>
              </w:rPr>
            </w:pPr>
          </w:p>
        </w:tc>
        <w:tc>
          <w:tcPr>
            <w:tcW w:w="1575" w:type="dxa"/>
            <w:vAlign w:val="center"/>
          </w:tcPr>
          <w:p w:rsidR="00E90072" w:rsidRDefault="009503D8">
            <w:pPr>
              <w:spacing w:line="400" w:lineRule="atLeast"/>
              <w:ind w:left="266" w:hanging="266"/>
              <w:jc w:val="center"/>
              <w:rPr>
                <w:rFonts w:ascii="ＭＳ 明朝" w:hAnsi="ＭＳ 明朝"/>
                <w:color w:val="000000"/>
                <w:spacing w:val="12"/>
                <w:sz w:val="22"/>
              </w:rPr>
            </w:pPr>
            <w:r>
              <w:rPr>
                <w:rFonts w:ascii="ＭＳ 明朝" w:hAnsi="ＭＳ 明朝" w:hint="eastAsia"/>
                <w:color w:val="000000"/>
                <w:spacing w:val="12"/>
                <w:sz w:val="22"/>
              </w:rPr>
              <w:t>総　　　額</w:t>
            </w:r>
          </w:p>
        </w:tc>
        <w:tc>
          <w:tcPr>
            <w:tcW w:w="665" w:type="dxa"/>
            <w:vMerge/>
          </w:tcPr>
          <w:p w:rsidR="00E90072" w:rsidRDefault="00E90072">
            <w:pPr>
              <w:spacing w:line="400" w:lineRule="atLeast"/>
              <w:ind w:left="266" w:hanging="266"/>
              <w:rPr>
                <w:rFonts w:ascii="ＭＳ 明朝" w:hAnsi="ＭＳ 明朝"/>
                <w:color w:val="000000"/>
                <w:spacing w:val="12"/>
                <w:sz w:val="22"/>
              </w:rPr>
            </w:pPr>
          </w:p>
        </w:tc>
        <w:tc>
          <w:tcPr>
            <w:tcW w:w="2730" w:type="dxa"/>
            <w:tcBorders>
              <w:top w:val="single" w:sz="4" w:space="0" w:color="auto"/>
            </w:tcBorders>
            <w:vAlign w:val="center"/>
          </w:tcPr>
          <w:p w:rsidR="00E90072" w:rsidRDefault="009503D8">
            <w:pPr>
              <w:spacing w:line="400" w:lineRule="atLeast"/>
              <w:ind w:left="266" w:hanging="266"/>
              <w:rPr>
                <w:rFonts w:ascii="ＭＳ 明朝" w:hAnsi="ＭＳ 明朝"/>
                <w:color w:val="000000"/>
                <w:spacing w:val="12"/>
                <w:sz w:val="22"/>
              </w:rPr>
            </w:pPr>
            <w:r w:rsidRPr="0083158F">
              <w:rPr>
                <w:rFonts w:ascii="ＭＳ 明朝" w:hAnsi="ＭＳ 明朝" w:hint="eastAsia"/>
                <w:color w:val="000000"/>
                <w:spacing w:val="167"/>
                <w:kern w:val="0"/>
                <w:sz w:val="22"/>
                <w:fitText w:val="2440" w:id="3"/>
              </w:rPr>
              <w:t>請負代金</w:t>
            </w:r>
            <w:r w:rsidRPr="0083158F">
              <w:rPr>
                <w:rFonts w:ascii="ＭＳ 明朝" w:hAnsi="ＭＳ 明朝" w:hint="eastAsia"/>
                <w:color w:val="000000"/>
                <w:spacing w:val="2"/>
                <w:kern w:val="0"/>
                <w:sz w:val="22"/>
                <w:fitText w:val="2440" w:id="3"/>
              </w:rPr>
              <w:t>額</w:t>
            </w:r>
          </w:p>
        </w:tc>
      </w:tr>
    </w:tbl>
    <w:p w:rsidR="00E90072" w:rsidRDefault="00E90072">
      <w:pPr>
        <w:spacing w:line="400" w:lineRule="atLeast"/>
        <w:ind w:left="266" w:hanging="266"/>
        <w:rPr>
          <w:rFonts w:ascii="ＭＳ 明朝" w:hAnsi="ＭＳ 明朝"/>
          <w:color w:val="000000"/>
          <w:spacing w:val="12"/>
          <w:sz w:val="22"/>
        </w:rPr>
      </w:pPr>
    </w:p>
    <w:p w:rsidR="00E90072" w:rsidRDefault="009503D8">
      <w:pPr>
        <w:pStyle w:val="a6"/>
        <w:rPr>
          <w:rFonts w:ascii="ＭＳ 明朝" w:hAnsi="ＭＳ 明朝"/>
          <w:color w:val="000000"/>
        </w:rPr>
      </w:pPr>
      <w:r>
        <w:rPr>
          <w:rFonts w:ascii="ＭＳ 明朝" w:hAnsi="ＭＳ 明朝" w:hint="eastAsia"/>
          <w:color w:val="000000"/>
        </w:rPr>
        <w:t xml:space="preserve">　　受注者は、３に規定する前払金の支払いを受けた後、中間前払金を受けようとする場合は、当該年度の工事実施期間の２分の１を経過し、かつ、工程表によりその時期までに実施すべきものとされている当該年度の建設工事に係る作業が行われており、既に行われた当該年度の建設工事に係る作業に要する経費が請負代金額の年割額の２分の１以上の額に相当するものであることについての認定を受けた後、各年度末（最終年度は工事の完成期限）を保証期限とした、保証会社の発行する保証証書を発注者に寄託しなければならない。</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５　令和８年度以降の支払限度額は、各年度当初に発注者が当該年度の予算により定めるものとする。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６　最終年度を除いた各年度の前払金及び中間前金払は、当該年度末までにその全額を償却するものとする。</w:t>
      </w:r>
    </w:p>
    <w:p w:rsidR="00E90072" w:rsidRDefault="009503D8">
      <w:pPr>
        <w:spacing w:line="400" w:lineRule="atLeast"/>
        <w:ind w:left="266" w:hanging="266"/>
        <w:rPr>
          <w:rFonts w:ascii="ＭＳ 明朝" w:hAnsi="ＭＳ 明朝"/>
          <w:color w:val="000000"/>
          <w:spacing w:val="12"/>
          <w:sz w:val="22"/>
        </w:rPr>
      </w:pPr>
      <w:r>
        <w:rPr>
          <w:rFonts w:ascii="ＭＳ 明朝" w:hAnsi="ＭＳ 明朝" w:hint="eastAsia"/>
          <w:color w:val="000000"/>
          <w:spacing w:val="12"/>
          <w:sz w:val="22"/>
        </w:rPr>
        <w:t>７　発注者は予算上の理由等により、２から６に規定する支払額を変更することができる。</w:t>
      </w:r>
    </w:p>
    <w:sectPr w:rsidR="00E90072">
      <w:headerReference w:type="default" r:id="rId6"/>
      <w:pgSz w:w="11906" w:h="16838"/>
      <w:pgMar w:top="1134" w:right="1021" w:bottom="1134" w:left="1985"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4BF6" w:rsidRDefault="009503D8">
      <w:r>
        <w:separator/>
      </w:r>
    </w:p>
  </w:endnote>
  <w:endnote w:type="continuationSeparator" w:id="0">
    <w:p w:rsidR="000A4BF6" w:rsidRDefault="00950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4BF6" w:rsidRDefault="009503D8">
      <w:r>
        <w:separator/>
      </w:r>
    </w:p>
  </w:footnote>
  <w:footnote w:type="continuationSeparator" w:id="0">
    <w:p w:rsidR="000A4BF6" w:rsidRDefault="00950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0072" w:rsidRDefault="009503D8">
    <w:pPr>
      <w:pStyle w:val="a3"/>
    </w:pPr>
    <w:r>
      <w:rPr>
        <w:rFonts w:hint="eastAsia"/>
        <w:bdr w:val="single" w:sz="4" w:space="0" w:color="auto"/>
      </w:rPr>
      <w:t>２年債務用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oNotTrackMoves/>
  <w:defaultTabStop w:val="85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072"/>
    <w:rsid w:val="000A4BF6"/>
    <w:rsid w:val="00375D15"/>
    <w:rsid w:val="005E24CB"/>
    <w:rsid w:val="0083158F"/>
    <w:rsid w:val="009503D8"/>
    <w:rsid w:val="00BD0FF9"/>
    <w:rsid w:val="00E9007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8C4CE11"/>
  <w15:chartTrackingRefBased/>
  <w15:docId w15:val="{DA5967B3-77E2-4070-AA2C-232033BD9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lock Text"/>
    <w:basedOn w:val="a"/>
    <w:pPr>
      <w:spacing w:line="400" w:lineRule="atLeast"/>
      <w:ind w:left="266" w:right="290" w:hanging="266"/>
    </w:pPr>
    <w:rPr>
      <w:spacing w:val="12"/>
      <w:sz w:val="22"/>
    </w:rPr>
  </w:style>
  <w:style w:type="paragraph" w:styleId="a6">
    <w:name w:val="Body Text Indent"/>
    <w:basedOn w:val="a"/>
    <w:pPr>
      <w:spacing w:line="400" w:lineRule="atLeast"/>
      <w:ind w:left="266" w:hanging="266"/>
    </w:pPr>
    <w:rPr>
      <w:spacing w:val="12"/>
      <w:sz w:val="22"/>
    </w:rPr>
  </w:style>
  <w:style w:type="paragraph" w:styleId="a7">
    <w:name w:val="Balloon Text"/>
    <w:basedOn w:val="a"/>
    <w:semiHidden/>
    <w:rPr>
      <w:rFonts w:ascii="Arial" w:eastAsia="ＭＳ ゴシック"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757</Words>
  <Characters>1429</Characters>
  <Application>Microsoft Office Word</Application>
  <DocSecurity>0</DocSecurity>
  <Lines>11</Lines>
  <Paragraphs>4</Paragraphs>
  <ScaleCrop>false</ScaleCrop>
  <HeadingPairs>
    <vt:vector size="2" baseType="variant">
      <vt:variant>
        <vt:lpstr>タイトル</vt:lpstr>
      </vt:variant>
      <vt:variant>
        <vt:i4>1</vt:i4>
      </vt:variant>
    </vt:vector>
  </HeadingPairs>
  <TitlesOfParts>
    <vt:vector size="1" baseType="lpstr">
      <vt:lpstr>（特に定めた契約条件）</vt:lpstr>
    </vt:vector>
  </TitlesOfParts>
  <Company>静岡県</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（特に定めた契約条件）</dc:title>
  <dc:creator>FUJ9903B0775</dc:creator>
  <cp:lastModifiedBy>髙橋 謙一</cp:lastModifiedBy>
  <cp:revision>21</cp:revision>
  <cp:lastPrinted>2015-11-25T04:08:00Z</cp:lastPrinted>
  <dcterms:created xsi:type="dcterms:W3CDTF">2020-02-19T00:06:00Z</dcterms:created>
  <dcterms:modified xsi:type="dcterms:W3CDTF">2025-08-12T01:24:00Z</dcterms:modified>
</cp:coreProperties>
</file>